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90925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9056E4">
        <w:rPr>
          <w:rFonts w:ascii="Times New Roman" w:hAnsi="Times New Roman" w:cs="Times New Roman"/>
          <w:sz w:val="28"/>
          <w:szCs w:val="28"/>
        </w:rPr>
        <w:t xml:space="preserve"> (16</w:t>
      </w:r>
      <w:r w:rsidR="002900C7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9056E4" w:rsidRPr="009056E4">
        <w:rPr>
          <w:rFonts w:ascii="Times New Roman" w:hAnsi="Times New Roman" w:cs="Times New Roman"/>
          <w:b/>
          <w:sz w:val="28"/>
          <w:szCs w:val="28"/>
        </w:rPr>
        <w:t>Сварочные трансформаторы</w:t>
      </w:r>
      <w:r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Pr="006F1B4D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A07813" w:rsidRPr="00A07813" w:rsidRDefault="00A07813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B5FDF">
        <w:rPr>
          <w:rFonts w:ascii="Times New Roman" w:hAnsi="Times New Roman" w:cs="Times New Roman"/>
          <w:sz w:val="28"/>
          <w:szCs w:val="28"/>
        </w:rPr>
        <w:t>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E23567" w:rsidRPr="00E23567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A07813" w:rsidRDefault="00E23567" w:rsidP="00E235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95348D" w:rsidRDefault="0095348D" w:rsidP="00602A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FE" w:rsidRDefault="00A07813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813">
        <w:rPr>
          <w:rFonts w:ascii="Times New Roman" w:hAnsi="Times New Roman" w:cs="Times New Roman"/>
          <w:b/>
          <w:sz w:val="28"/>
          <w:szCs w:val="28"/>
        </w:rPr>
        <w:t>Лекция:</w:t>
      </w:r>
      <w:r w:rsidRPr="00A0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BA4" w:rsidRPr="006A5BA4" w:rsidRDefault="006A5BA4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hAnsi="Times New Roman" w:cs="Times New Roman"/>
          <w:sz w:val="28"/>
          <w:szCs w:val="28"/>
        </w:rPr>
        <w:t xml:space="preserve">Сварочные трансформаторы согласно ГОСТ 95—77 рассчитаны на следующие номинальные значения силы тока: 125; </w:t>
      </w:r>
      <w:r w:rsidRPr="006A5BA4">
        <w:rPr>
          <w:rFonts w:ascii="Times New Roman" w:hAnsi="Times New Roman" w:cs="Times New Roman"/>
          <w:sz w:val="28"/>
          <w:szCs w:val="28"/>
        </w:rPr>
        <w:t>140; 160</w:t>
      </w:r>
      <w:r w:rsidRPr="006A5BA4">
        <w:rPr>
          <w:rFonts w:ascii="Times New Roman" w:hAnsi="Times New Roman" w:cs="Times New Roman"/>
          <w:sz w:val="28"/>
          <w:szCs w:val="28"/>
        </w:rPr>
        <w:t>; 250; 315; 350; 400; 500; 700; 1 000; 1 600 и 2 А.</w:t>
      </w:r>
    </w:p>
    <w:p w:rsidR="009056E4" w:rsidRDefault="006A5BA4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</w:t>
      </w:r>
      <w:r w:rsidRPr="006A5BA4">
        <w:rPr>
          <w:rFonts w:ascii="Times New Roman" w:hAnsi="Times New Roman" w:cs="Times New Roman"/>
          <w:sz w:val="28"/>
          <w:szCs w:val="28"/>
        </w:rPr>
        <w:t>я сварки применяют понижающие одно- и трехфазные однопостовые трансформаторы разных конструкций, в том числе исправно работающие несколько десятилетий устаревшие модели с нормальным магнитным рассеянием и реактивной катушкой (серии СТН и ТДС), увеличенным</w:t>
      </w:r>
      <w:r>
        <w:rPr>
          <w:rFonts w:ascii="Times New Roman" w:hAnsi="Times New Roman" w:cs="Times New Roman"/>
          <w:sz w:val="28"/>
          <w:szCs w:val="28"/>
        </w:rPr>
        <w:t xml:space="preserve"> магнитным рассеянием и подвижными</w:t>
      </w:r>
      <w:r w:rsidRPr="006A5BA4">
        <w:rPr>
          <w:rFonts w:ascii="Times New Roman" w:hAnsi="Times New Roman" w:cs="Times New Roman"/>
          <w:sz w:val="28"/>
          <w:szCs w:val="28"/>
        </w:rPr>
        <w:t xml:space="preserve"> обмотками (ТСК, ТД и Т</w:t>
      </w:r>
      <w:r>
        <w:rPr>
          <w:rFonts w:ascii="Times New Roman" w:hAnsi="Times New Roman" w:cs="Times New Roman"/>
          <w:sz w:val="28"/>
          <w:szCs w:val="28"/>
        </w:rPr>
        <w:t>ДМ), с увеличенным магнитным рассеянием и подвижным магнитн</w:t>
      </w:r>
      <w:r w:rsidRPr="006A5BA4">
        <w:rPr>
          <w:rFonts w:ascii="Times New Roman" w:hAnsi="Times New Roman" w:cs="Times New Roman"/>
          <w:sz w:val="28"/>
          <w:szCs w:val="28"/>
        </w:rPr>
        <w:t xml:space="preserve">ым шунтом (СТАН и СТШ), с увеличенным магнитным рассеянием и подмагничиваемым шунт0М (ТДФ) и с тиристорным управлением (ТДЭ и ТДФЖ). Сварочные трансформаторы серий ТД и ТДФЖ изображены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A5BA4"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9056E4" w:rsidRDefault="009056E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6E4" w:rsidRDefault="006A5BA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inline distT="0" distB="0" distL="0" distR="0" wp14:anchorId="7D81EE49" wp14:editId="7C9F6452">
            <wp:extent cx="3086099" cy="1706880"/>
            <wp:effectExtent l="0" t="0" r="635" b="7620"/>
            <wp:docPr id="1" name="Picture 6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68" name="Picture 63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366" cy="17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A4" w:rsidRDefault="006A5BA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                                          б</w:t>
      </w:r>
    </w:p>
    <w:p w:rsidR="009056E4" w:rsidRPr="006A5BA4" w:rsidRDefault="006A5BA4" w:rsidP="00602A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A5BA4">
        <w:rPr>
          <w:rFonts w:ascii="Times New Roman" w:hAnsi="Times New Roman" w:cs="Times New Roman"/>
          <w:i/>
          <w:sz w:val="24"/>
          <w:szCs w:val="28"/>
        </w:rPr>
        <w:t>Рис. 1. Сварочные трансформаторы серии ТД для ручной дуговой сварки (а) и серии ТДФЖ для сварки под флюсом (б)</w:t>
      </w:r>
    </w:p>
    <w:p w:rsidR="009056E4" w:rsidRDefault="009056E4" w:rsidP="00602A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7A" w:rsidRDefault="006A5BA4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способу перемещени</w:t>
      </w:r>
      <w:r w:rsidRPr="006A5BA4">
        <w:rPr>
          <w:rFonts w:ascii="Times New Roman" w:hAnsi="Times New Roman" w:cs="Times New Roman"/>
          <w:sz w:val="28"/>
          <w:szCs w:val="28"/>
        </w:rPr>
        <w:t xml:space="preserve">я трансформаторы подразделяют на переносные и передвижные. В сварочной практике наиболее широко используют трансформаторы серий ТДМ и СТШ, которые относятся к группе трансформаторов стержневого типа. Для них характерны малый расход активных материалов, простота конструкции, высокие сварочные и энергетические показатели, а также широкие пределы регулирования силы тока. Однако трансформаторы серии СТШ (СТШ-25О, -300, -500, -500-80 и </w:t>
      </w:r>
      <w:r w:rsidRPr="006A5BA4">
        <w:rPr>
          <w:rFonts w:ascii="Times New Roman" w:hAnsi="Times New Roman" w:cs="Times New Roman"/>
          <w:sz w:val="28"/>
          <w:szCs w:val="28"/>
        </w:rPr>
        <w:lastRenderedPageBreak/>
        <w:t>др.) с подв</w:t>
      </w:r>
      <w:r>
        <w:rPr>
          <w:rFonts w:ascii="Times New Roman" w:hAnsi="Times New Roman" w:cs="Times New Roman"/>
          <w:sz w:val="28"/>
          <w:szCs w:val="28"/>
        </w:rPr>
        <w:t>ижным магнитным шунтом (рис.2</w:t>
      </w:r>
      <w:r w:rsidRPr="006A5BA4">
        <w:rPr>
          <w:rFonts w:ascii="Times New Roman" w:hAnsi="Times New Roman" w:cs="Times New Roman"/>
          <w:sz w:val="28"/>
          <w:szCs w:val="28"/>
        </w:rPr>
        <w:t>) превосходят все предшествующие виды трансформаторов.</w:t>
      </w:r>
      <w:r w:rsidR="0027717A" w:rsidRPr="0027717A">
        <w:rPr>
          <w:rFonts w:ascii="Times New Roman" w:eastAsia="Times New Roman" w:hAnsi="Times New Roman" w:cs="Times New Roman"/>
          <w:noProof/>
          <w:color w:val="000000"/>
          <w:sz w:val="32"/>
          <w:lang w:eastAsia="ru-RU"/>
        </w:rPr>
        <w:drawing>
          <wp:anchor distT="0" distB="0" distL="114300" distR="114300" simplePos="0" relativeHeight="251659264" behindDoc="0" locked="0" layoutInCell="1" allowOverlap="0" wp14:anchorId="54A7BBC1" wp14:editId="41DAB9E6">
            <wp:simplePos x="0" y="0"/>
            <wp:positionH relativeFrom="margin">
              <wp:align>left</wp:align>
            </wp:positionH>
            <wp:positionV relativeFrom="page">
              <wp:posOffset>1539240</wp:posOffset>
            </wp:positionV>
            <wp:extent cx="3542030" cy="1889760"/>
            <wp:effectExtent l="0" t="0" r="1270" b="0"/>
            <wp:wrapTopAndBottom/>
            <wp:docPr id="2" name="Picture 7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6" name="Picture 773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1311" cy="189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17A" w:rsidRDefault="0027717A" w:rsidP="00277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17A" w:rsidRDefault="0027717A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17A" w:rsidRDefault="0027717A" w:rsidP="006A5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17A" w:rsidRPr="0027717A" w:rsidRDefault="006A5BA4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BA4">
        <w:rPr>
          <w:rFonts w:ascii="Times New Roman" w:hAnsi="Times New Roman" w:cs="Times New Roman"/>
          <w:sz w:val="28"/>
          <w:szCs w:val="28"/>
        </w:rPr>
        <w:t>Современные модели серии СТШ «Патон» снабжены встроенным стабилизатором дуги УСГД-7М. Катушки первичной и вторичной</w:t>
      </w:r>
      <w:r w:rsidR="0027717A" w:rsidRPr="0027717A">
        <w:t xml:space="preserve"> </w:t>
      </w:r>
      <w:r w:rsidR="0027717A" w:rsidRPr="0027717A">
        <w:rPr>
          <w:rFonts w:ascii="Times New Roman" w:hAnsi="Times New Roman" w:cs="Times New Roman"/>
          <w:sz w:val="28"/>
          <w:szCs w:val="28"/>
        </w:rPr>
        <w:t>обмоток трансформаторов этой серии неподвижно закреплены у нижнего и верхнего ярм</w:t>
      </w:r>
      <w:r w:rsidR="0027717A">
        <w:rPr>
          <w:rFonts w:ascii="Times New Roman" w:hAnsi="Times New Roman" w:cs="Times New Roman"/>
          <w:sz w:val="28"/>
          <w:szCs w:val="28"/>
        </w:rPr>
        <w:t>. В окне магнитопровода, в про</w:t>
      </w:r>
      <w:r w:rsidR="0027717A" w:rsidRPr="0027717A">
        <w:rPr>
          <w:rFonts w:ascii="Times New Roman" w:hAnsi="Times New Roman" w:cs="Times New Roman"/>
          <w:sz w:val="28"/>
          <w:szCs w:val="28"/>
        </w:rPr>
        <w:t xml:space="preserve">странстве между первичными и вторичными катушками, расположены две подвижные половины магнитного шунта. Положение частей шунта изменяется ходовым винтом с рукояткой и </w:t>
      </w:r>
      <w:r w:rsidR="0027717A" w:rsidRPr="0027717A">
        <w:rPr>
          <w:rFonts w:ascii="Times New Roman" w:hAnsi="Times New Roman" w:cs="Times New Roman"/>
          <w:sz w:val="28"/>
          <w:szCs w:val="28"/>
        </w:rPr>
        <w:t>гайками, вмонтированными</w:t>
      </w:r>
      <w:r w:rsidR="0027717A" w:rsidRPr="0027717A">
        <w:rPr>
          <w:rFonts w:ascii="Times New Roman" w:hAnsi="Times New Roman" w:cs="Times New Roman"/>
          <w:sz w:val="28"/>
          <w:szCs w:val="28"/>
        </w:rPr>
        <w:t xml:space="preserve"> в части шунта, Одна половина шунта имеет гайку с левой резьбой, а другая — с правой. При вращении рукоятки по часовой стрелке части шунта раздвигаются, а при вращении против часовой стрелки — сдвигаются. Таким образом осуществляется изменение магнитного рассеяния и плавное регулирование силы сварочного тока: при сближении частей шунта она уменьшает</w:t>
      </w:r>
      <w:r w:rsidR="0027717A">
        <w:rPr>
          <w:rFonts w:ascii="Times New Roman" w:hAnsi="Times New Roman" w:cs="Times New Roman"/>
          <w:sz w:val="28"/>
          <w:szCs w:val="28"/>
        </w:rPr>
        <w:t>ся, а при удалении — возрастает.</w:t>
      </w:r>
    </w:p>
    <w:p w:rsidR="0027717A" w:rsidRPr="0027717A" w:rsidRDefault="0027717A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>Трансформатор устанавливают на раму с колесами и закрывают корпус кожухом. Его внешняя ВАХ крутопадающая. Использование магнитного шунта из двух подвижных частей упрощает и ускоряет настройку режима сварки. При этом существенно снижаются вибрация и мощный низкочастотный звук работающего трансформатора, так как электродинамические силы, воздействующие на шунты, уравновешиваются.</w:t>
      </w:r>
    </w:p>
    <w:p w:rsidR="0027717A" w:rsidRPr="0027717A" w:rsidRDefault="0027717A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>Трансформаторы серии ТДФЖ деля автоматической сварки под флюсом, рассчитанные на номинальные токи 1 000; 1 600 и 2 000 А и продолжительный режим работы, выпускаю</w:t>
      </w:r>
      <w:r>
        <w:rPr>
          <w:rFonts w:ascii="Times New Roman" w:hAnsi="Times New Roman" w:cs="Times New Roman"/>
          <w:sz w:val="28"/>
          <w:szCs w:val="28"/>
        </w:rPr>
        <w:t>тся в стационарном исполнении дл</w:t>
      </w:r>
      <w:r w:rsidRPr="0027717A">
        <w:rPr>
          <w:rFonts w:ascii="Times New Roman" w:hAnsi="Times New Roman" w:cs="Times New Roman"/>
          <w:sz w:val="28"/>
          <w:szCs w:val="28"/>
        </w:rPr>
        <w:t>я работы в условиях умеренного (УЗ) и тропического (Т4) климата.</w:t>
      </w:r>
    </w:p>
    <w:p w:rsidR="00820A33" w:rsidRDefault="0027717A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</w:t>
      </w:r>
      <w:r w:rsidRPr="0027717A">
        <w:rPr>
          <w:rFonts w:ascii="Times New Roman" w:hAnsi="Times New Roman" w:cs="Times New Roman"/>
          <w:sz w:val="28"/>
          <w:szCs w:val="28"/>
        </w:rPr>
        <w:t>торы имею</w:t>
      </w:r>
      <w:r>
        <w:rPr>
          <w:rFonts w:ascii="Times New Roman" w:hAnsi="Times New Roman" w:cs="Times New Roman"/>
          <w:sz w:val="28"/>
          <w:szCs w:val="28"/>
        </w:rPr>
        <w:t>т жесткую ВАХ и предназначены дл</w:t>
      </w:r>
      <w:r w:rsidRPr="0027717A">
        <w:rPr>
          <w:rFonts w:ascii="Times New Roman" w:hAnsi="Times New Roman" w:cs="Times New Roman"/>
          <w:sz w:val="28"/>
          <w:szCs w:val="28"/>
        </w:rPr>
        <w:t>я автоматической свар</w:t>
      </w:r>
      <w:r>
        <w:rPr>
          <w:rFonts w:ascii="Times New Roman" w:hAnsi="Times New Roman" w:cs="Times New Roman"/>
          <w:sz w:val="28"/>
          <w:szCs w:val="28"/>
        </w:rPr>
        <w:t>ива</w:t>
      </w:r>
      <w:r w:rsidRPr="0027717A">
        <w:rPr>
          <w:rFonts w:ascii="Times New Roman" w:hAnsi="Times New Roman" w:cs="Times New Roman"/>
          <w:sz w:val="28"/>
          <w:szCs w:val="28"/>
        </w:rPr>
        <w:t>ют с постоянной скоростью подачи электродной проволоки. При наличии тиристорного</w:t>
      </w:r>
      <w:r w:rsidR="00820A33">
        <w:rPr>
          <w:rFonts w:ascii="Times New Roman" w:hAnsi="Times New Roman" w:cs="Times New Roman"/>
          <w:sz w:val="28"/>
          <w:szCs w:val="28"/>
        </w:rPr>
        <w:t xml:space="preserve"> рег</w:t>
      </w:r>
      <w:r w:rsidRPr="0027717A">
        <w:rPr>
          <w:rFonts w:ascii="Times New Roman" w:hAnsi="Times New Roman" w:cs="Times New Roman"/>
          <w:sz w:val="28"/>
          <w:szCs w:val="28"/>
        </w:rPr>
        <w:t>улирования они работают в режиме прерывистого тока. В трансформаторах применена система импульсной стабилизации повторного возбуждения дуги. Трансформатор ТДФЖ-1002 имеет две ступени регулирования силы сварочного тока, а ТДФЖ-2002 — три ступени. Трансформаторы имеют стержневую конструкцию с разнесенными и жестко закрепленными катушками. Технические характеристики наиболее широко применяемых трансф</w:t>
      </w:r>
      <w:r w:rsidR="00820A33">
        <w:rPr>
          <w:rFonts w:ascii="Times New Roman" w:hAnsi="Times New Roman" w:cs="Times New Roman"/>
          <w:sz w:val="28"/>
          <w:szCs w:val="28"/>
        </w:rPr>
        <w:t>орматоров приведены в (табл.1).</w:t>
      </w:r>
    </w:p>
    <w:p w:rsidR="00820A33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1. Технические характеристики трансформаторов</w:t>
      </w:r>
    </w:p>
    <w:tbl>
      <w:tblPr>
        <w:tblStyle w:val="TableGrid"/>
        <w:tblW w:w="9188" w:type="dxa"/>
        <w:tblInd w:w="87" w:type="dxa"/>
        <w:tblCellMar>
          <w:left w:w="121" w:type="dxa"/>
          <w:bottom w:w="28" w:type="dxa"/>
        </w:tblCellMar>
        <w:tblLook w:val="04A0" w:firstRow="1" w:lastRow="0" w:firstColumn="1" w:lastColumn="0" w:noHBand="0" w:noVBand="1"/>
      </w:tblPr>
      <w:tblGrid>
        <w:gridCol w:w="2845"/>
        <w:gridCol w:w="2136"/>
        <w:gridCol w:w="2106"/>
        <w:gridCol w:w="2101"/>
      </w:tblGrid>
      <w:tr w:rsidR="00820A33" w:rsidRPr="00820A33" w:rsidTr="006D4AAB">
        <w:trPr>
          <w:trHeight w:val="464"/>
        </w:trPr>
        <w:tc>
          <w:tcPr>
            <w:tcW w:w="2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332" w:firstLine="5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трансформатора</w:t>
            </w:r>
          </w:p>
        </w:tc>
        <w:tc>
          <w:tcPr>
            <w:tcW w:w="42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сварочного тока, А</w:t>
            </w:r>
          </w:p>
        </w:tc>
        <w:tc>
          <w:tcPr>
            <w:tcW w:w="21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left="20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 </w:t>
            </w:r>
            <w:r w:rsidRPr="00820A3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DB6B668" wp14:editId="058064A3">
                  <wp:extent cx="3146" cy="3146"/>
                  <wp:effectExtent l="0" t="0" r="0" b="0"/>
                  <wp:docPr id="3" name="Picture 75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39" name="Picture 75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6" cy="3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0A33" w:rsidRPr="00820A33" w:rsidRDefault="00820A33" w:rsidP="00820A33">
            <w:pPr>
              <w:ind w:left="13" w:right="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холостого хода, в</w:t>
            </w:r>
          </w:p>
        </w:tc>
      </w:tr>
      <w:tr w:rsidR="00820A33" w:rsidRPr="00820A33" w:rsidTr="006D4AAB">
        <w:trPr>
          <w:trHeight w:val="7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0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Номинальная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Диапазон регулирования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0A33" w:rsidRPr="00820A33" w:rsidTr="006D4AAB">
        <w:trPr>
          <w:trHeight w:val="473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тдм-317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9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12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60...360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62 80</w:t>
            </w:r>
          </w:p>
        </w:tc>
      </w:tr>
      <w:tr w:rsidR="00820A33" w:rsidRPr="00820A33" w:rsidTr="006D4AAB">
        <w:trPr>
          <w:trHeight w:val="496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стш-500-80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60 ... 800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20A33" w:rsidRPr="00820A33" w:rsidTr="006D4AAB">
        <w:trPr>
          <w:trHeight w:val="455"/>
        </w:trPr>
        <w:tc>
          <w:tcPr>
            <w:tcW w:w="2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ТДФЖ-2ОО2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820A33">
            <w:pPr>
              <w:ind w:right="1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</w:t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600...2 200</w:t>
            </w:r>
          </w:p>
        </w:tc>
        <w:tc>
          <w:tcPr>
            <w:tcW w:w="2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ind w:right="14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</w:tbl>
    <w:tbl>
      <w:tblPr>
        <w:tblStyle w:val="TableGrid1"/>
        <w:tblW w:w="9141" w:type="dxa"/>
        <w:tblInd w:w="82" w:type="dxa"/>
        <w:tblCellMar>
          <w:top w:w="96" w:type="dxa"/>
          <w:left w:w="126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2843"/>
        <w:gridCol w:w="2121"/>
        <w:gridCol w:w="2086"/>
        <w:gridCol w:w="2091"/>
      </w:tblGrid>
      <w:tr w:rsidR="00820A33" w:rsidRPr="00820A33" w:rsidTr="00820A33">
        <w:trPr>
          <w:trHeight w:val="1009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left="342" w:firstLine="55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Марка трансформатора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Полная потребляемая мощность, кВ • А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820A3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ПВ,%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20A33" w:rsidRPr="00820A33" w:rsidRDefault="00820A33" w:rsidP="00820A3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</w:tr>
      <w:tr w:rsidR="00820A33" w:rsidRPr="00820A33" w:rsidTr="00820A33">
        <w:trPr>
          <w:trHeight w:val="466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тдм-317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20A33" w:rsidRPr="00820A33" w:rsidTr="00820A33">
        <w:trPr>
          <w:trHeight w:val="468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стш-500-80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0A33" w:rsidRPr="00820A33" w:rsidRDefault="00820A33" w:rsidP="006D4AAB">
            <w:pPr>
              <w:spacing w:line="259" w:lineRule="auto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820A33" w:rsidRPr="00820A33" w:rsidTr="00820A33">
        <w:trPr>
          <w:trHeight w:val="466"/>
        </w:trPr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ТДФЖ-2ОО2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20A33" w:rsidRPr="00820A33" w:rsidRDefault="00820A33" w:rsidP="006D4AAB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</w:tbl>
    <w:p w:rsidR="00820A33" w:rsidRPr="00820A33" w:rsidRDefault="00820A33" w:rsidP="00820A33">
      <w:pPr>
        <w:spacing w:after="0"/>
        <w:ind w:right="1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17A" w:rsidRPr="0027717A" w:rsidRDefault="0027717A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17A">
        <w:rPr>
          <w:rFonts w:ascii="Times New Roman" w:hAnsi="Times New Roman" w:cs="Times New Roman"/>
          <w:sz w:val="28"/>
          <w:szCs w:val="28"/>
        </w:rPr>
        <w:t>Для электрошлаковой сварки применяют специальные одно- и трехфазные сварочные трансформаторы с жесткой ВАХ (ТШС1000-1, -1000-3 и др.).</w:t>
      </w:r>
    </w:p>
    <w:p w:rsidR="009056E4" w:rsidRDefault="00820A33" w:rsidP="00277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сварке на переменном токе дл</w:t>
      </w:r>
      <w:r w:rsidR="0027717A" w:rsidRPr="0027717A">
        <w:rPr>
          <w:rFonts w:ascii="Times New Roman" w:hAnsi="Times New Roman" w:cs="Times New Roman"/>
          <w:sz w:val="28"/>
          <w:szCs w:val="28"/>
        </w:rPr>
        <w:t>я надежного возбуждения дуги с исключением возможности ее обрыва (особенно при сварке на автоматах) используют дополнительное оборудование и вспомогательные устройства. К вспомогательным устройствам относятся импульсные возбудители дуги, стабилизаторы ее горения и осцилляторы.</w:t>
      </w:r>
    </w:p>
    <w:p w:rsidR="00820A33" w:rsidRPr="00820A33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A33">
        <w:rPr>
          <w:rFonts w:ascii="Times New Roman" w:hAnsi="Times New Roman" w:cs="Times New Roman"/>
          <w:sz w:val="28"/>
          <w:szCs w:val="28"/>
        </w:rPr>
        <w:t>Импульсные во</w:t>
      </w:r>
      <w:r>
        <w:rPr>
          <w:rFonts w:ascii="Times New Roman" w:hAnsi="Times New Roman" w:cs="Times New Roman"/>
          <w:sz w:val="28"/>
          <w:szCs w:val="28"/>
        </w:rPr>
        <w:t>збудители дуги предназначены дл</w:t>
      </w:r>
      <w:r w:rsidRPr="00820A33">
        <w:rPr>
          <w:rFonts w:ascii="Times New Roman" w:hAnsi="Times New Roman" w:cs="Times New Roman"/>
          <w:sz w:val="28"/>
          <w:szCs w:val="28"/>
        </w:rPr>
        <w:t xml:space="preserve">я сварки плавящимся электродом в аргоне и других защитных газах легированных сталей, цветных металлов и их сплавов. Применение этих устройств облегчает возбуждение дуги, повышает устойчивость ее горения и способствует переносу капель расплавленного металла в сварочную ванну. В технической литературе встречается их </w:t>
      </w:r>
      <w:r>
        <w:rPr>
          <w:rFonts w:ascii="Times New Roman" w:hAnsi="Times New Roman" w:cs="Times New Roman"/>
          <w:sz w:val="28"/>
          <w:szCs w:val="28"/>
        </w:rPr>
        <w:t>эквивал</w:t>
      </w:r>
      <w:r w:rsidRPr="00820A33">
        <w:rPr>
          <w:rFonts w:ascii="Times New Roman" w:hAnsi="Times New Roman" w:cs="Times New Roman"/>
          <w:sz w:val="28"/>
          <w:szCs w:val="28"/>
        </w:rPr>
        <w:t xml:space="preserve">ентное название «генераторы импульсов». Существуют следующие марки таких устройств: НИП-1, -2, ГИ-ИДС-1 и ГИД-1. </w:t>
      </w:r>
    </w:p>
    <w:p w:rsidR="009056E4" w:rsidRDefault="00820A33" w:rsidP="00820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Стабилизаторы дуг</w:t>
      </w:r>
      <w:r w:rsidRPr="00820A33">
        <w:rPr>
          <w:rFonts w:ascii="Times New Roman" w:hAnsi="Times New Roman" w:cs="Times New Roman"/>
          <w:sz w:val="28"/>
          <w:szCs w:val="28"/>
        </w:rPr>
        <w:t>и также поддерживают устойчивое горение дуги при сварке плавящимся электродом на переменном токе, Процесс стабилизации заключается в подаче повторного импульса, зажигающего дугу в момент перехода силы тока через нулевое значение. При ручной аргонодуговой сварке алюминия и его сплавов неплавящимся электродом используют возбудитель-стабилизатор ВСД-О1. В источниках питания часто применяют регуляторы плавного снижения силы сварочн</w:t>
      </w:r>
      <w:r>
        <w:rPr>
          <w:rFonts w:ascii="Times New Roman" w:hAnsi="Times New Roman" w:cs="Times New Roman"/>
          <w:sz w:val="28"/>
          <w:szCs w:val="28"/>
        </w:rPr>
        <w:t>ого тока при окончании сварки дл</w:t>
      </w:r>
      <w:r w:rsidRPr="00820A33">
        <w:rPr>
          <w:rFonts w:ascii="Times New Roman" w:hAnsi="Times New Roman" w:cs="Times New Roman"/>
          <w:sz w:val="28"/>
          <w:szCs w:val="28"/>
        </w:rPr>
        <w:t>я заваривания кратера. Возбудители-стабилизаторы обеспечивают устойчивое возбуждение дуги при малом зазоре между электродом и свариваемой деталью и стабилизируют горени</w:t>
      </w:r>
      <w:r>
        <w:rPr>
          <w:rFonts w:ascii="Times New Roman" w:hAnsi="Times New Roman" w:cs="Times New Roman"/>
          <w:sz w:val="28"/>
          <w:szCs w:val="28"/>
        </w:rPr>
        <w:t>е дуги при длине дугового пром</w:t>
      </w:r>
      <w:r w:rsidRPr="00820A33">
        <w:rPr>
          <w:rFonts w:ascii="Times New Roman" w:hAnsi="Times New Roman" w:cs="Times New Roman"/>
          <w:sz w:val="28"/>
          <w:szCs w:val="28"/>
        </w:rPr>
        <w:t>ежутка до 6 мм.</w:t>
      </w:r>
    </w:p>
    <w:p w:rsidR="005856B3" w:rsidRPr="007C4B2D" w:rsidRDefault="003009F0" w:rsidP="007C4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lastRenderedPageBreak/>
        <w:t>Вопросы для самоконтроля:</w:t>
      </w:r>
    </w:p>
    <w:p w:rsidR="00DD0E05" w:rsidRDefault="00B21BA7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конструкции трансформаторов применяют в сварочной практике?</w:t>
      </w:r>
    </w:p>
    <w:p w:rsidR="00B21BA7" w:rsidRPr="006422C2" w:rsidRDefault="00B21BA7" w:rsidP="006422C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отличительные особенности имеют сварочные трансформаторы серии СТШ?</w:t>
      </w:r>
    </w:p>
    <w:p w:rsidR="00B21BA7" w:rsidRDefault="00B21BA7" w:rsidP="00B21BA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трансформаторы применяют для автоматической сварки под флюсом и каковы их достоинства</w:t>
      </w:r>
      <w:r w:rsidR="00DD0E05">
        <w:rPr>
          <w:rFonts w:ascii="Times New Roman" w:hAnsi="Times New Roman" w:cs="Times New Roman"/>
          <w:sz w:val="28"/>
          <w:szCs w:val="28"/>
        </w:rPr>
        <w:t>?</w:t>
      </w:r>
      <w:r w:rsidR="000747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0E05" w:rsidRPr="00B21BA7" w:rsidRDefault="00DD0E05" w:rsidP="00B21BA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09F0" w:rsidRDefault="003009F0" w:rsidP="003825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9F0">
        <w:rPr>
          <w:rFonts w:ascii="Times New Roman" w:hAnsi="Times New Roman" w:cs="Times New Roman"/>
          <w:b/>
          <w:sz w:val="28"/>
          <w:szCs w:val="28"/>
        </w:rPr>
        <w:t>Выдача домашнего задания:</w:t>
      </w:r>
      <w:r w:rsidR="000747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B368C" w:rsidRDefault="00B423CC" w:rsidP="00A43B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1BA7">
        <w:rPr>
          <w:rFonts w:ascii="Times New Roman" w:hAnsi="Times New Roman" w:cs="Times New Roman"/>
          <w:sz w:val="28"/>
          <w:szCs w:val="28"/>
        </w:rPr>
        <w:t>Найти дополнительную информацию по теме: (что представляет собой осциллятор?</w:t>
      </w:r>
      <w:bookmarkStart w:id="0" w:name="_GoBack"/>
      <w:bookmarkEnd w:id="0"/>
      <w:r w:rsidR="00B21BA7">
        <w:rPr>
          <w:rFonts w:ascii="Times New Roman" w:hAnsi="Times New Roman" w:cs="Times New Roman"/>
          <w:sz w:val="28"/>
          <w:szCs w:val="28"/>
        </w:rPr>
        <w:t>)</w:t>
      </w:r>
    </w:p>
    <w:p w:rsidR="00673436" w:rsidRPr="004F09CA" w:rsidRDefault="00673436" w:rsidP="003825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1D" w:rsidRDefault="0098421D" w:rsidP="00A24B35">
      <w:pPr>
        <w:spacing w:after="0" w:line="240" w:lineRule="auto"/>
      </w:pPr>
      <w:r>
        <w:separator/>
      </w:r>
    </w:p>
  </w:endnote>
  <w:endnote w:type="continuationSeparator" w:id="0">
    <w:p w:rsidR="0098421D" w:rsidRDefault="0098421D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1D" w:rsidRDefault="0098421D" w:rsidP="00A24B35">
      <w:pPr>
        <w:spacing w:after="0" w:line="240" w:lineRule="auto"/>
      </w:pPr>
      <w:r>
        <w:separator/>
      </w:r>
    </w:p>
  </w:footnote>
  <w:footnote w:type="continuationSeparator" w:id="0">
    <w:p w:rsidR="0098421D" w:rsidRDefault="0098421D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2B1"/>
    <w:multiLevelType w:val="hybridMultilevel"/>
    <w:tmpl w:val="C5583BB4"/>
    <w:lvl w:ilvl="0" w:tplc="BE6E19E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51776"/>
    <w:multiLevelType w:val="hybridMultilevel"/>
    <w:tmpl w:val="FFFFFFFF"/>
    <w:lvl w:ilvl="0" w:tplc="9EAA482E">
      <w:start w:val="1"/>
      <w:numFmt w:val="bullet"/>
      <w:lvlText w:val="•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8F6CB880">
      <w:start w:val="1"/>
      <w:numFmt w:val="bullet"/>
      <w:lvlText w:val="o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CF24746">
      <w:start w:val="1"/>
      <w:numFmt w:val="bullet"/>
      <w:lvlText w:val="▪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BF860022">
      <w:start w:val="1"/>
      <w:numFmt w:val="bullet"/>
      <w:lvlText w:val="•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E248E46">
      <w:start w:val="1"/>
      <w:numFmt w:val="bullet"/>
      <w:lvlText w:val="o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02BD4C">
      <w:start w:val="1"/>
      <w:numFmt w:val="bullet"/>
      <w:lvlText w:val="▪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81563584">
      <w:start w:val="1"/>
      <w:numFmt w:val="bullet"/>
      <w:lvlText w:val="•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7B02C62">
      <w:start w:val="1"/>
      <w:numFmt w:val="bullet"/>
      <w:lvlText w:val="o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16DC7EDC">
      <w:start w:val="1"/>
      <w:numFmt w:val="bullet"/>
      <w:lvlText w:val="▪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FD664E"/>
    <w:multiLevelType w:val="hybridMultilevel"/>
    <w:tmpl w:val="F49A4AA8"/>
    <w:lvl w:ilvl="0" w:tplc="7C729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0699A"/>
    <w:rsid w:val="00010AF1"/>
    <w:rsid w:val="00012826"/>
    <w:rsid w:val="00022644"/>
    <w:rsid w:val="00025D43"/>
    <w:rsid w:val="00040060"/>
    <w:rsid w:val="00040FD3"/>
    <w:rsid w:val="0004101F"/>
    <w:rsid w:val="00063A67"/>
    <w:rsid w:val="000747EA"/>
    <w:rsid w:val="000835A6"/>
    <w:rsid w:val="00094CC4"/>
    <w:rsid w:val="000B3ACB"/>
    <w:rsid w:val="000B611A"/>
    <w:rsid w:val="000D1975"/>
    <w:rsid w:val="000D3957"/>
    <w:rsid w:val="0012288D"/>
    <w:rsid w:val="00122C14"/>
    <w:rsid w:val="0013283E"/>
    <w:rsid w:val="00136313"/>
    <w:rsid w:val="001A50C8"/>
    <w:rsid w:val="001C0A4E"/>
    <w:rsid w:val="001E7C31"/>
    <w:rsid w:val="00200EFE"/>
    <w:rsid w:val="002019D3"/>
    <w:rsid w:val="0021159C"/>
    <w:rsid w:val="00214520"/>
    <w:rsid w:val="00225987"/>
    <w:rsid w:val="00254FCC"/>
    <w:rsid w:val="0027717A"/>
    <w:rsid w:val="002900C7"/>
    <w:rsid w:val="002A407D"/>
    <w:rsid w:val="002C68C6"/>
    <w:rsid w:val="002D3067"/>
    <w:rsid w:val="002D477C"/>
    <w:rsid w:val="002E6104"/>
    <w:rsid w:val="003009F0"/>
    <w:rsid w:val="00313EA9"/>
    <w:rsid w:val="003172CA"/>
    <w:rsid w:val="00320B47"/>
    <w:rsid w:val="00320DC4"/>
    <w:rsid w:val="003472D7"/>
    <w:rsid w:val="003825EB"/>
    <w:rsid w:val="003B368C"/>
    <w:rsid w:val="003B3A81"/>
    <w:rsid w:val="003F27C0"/>
    <w:rsid w:val="004038D7"/>
    <w:rsid w:val="00415A28"/>
    <w:rsid w:val="00433F7B"/>
    <w:rsid w:val="00473879"/>
    <w:rsid w:val="00486E1B"/>
    <w:rsid w:val="00493BEA"/>
    <w:rsid w:val="004A6E50"/>
    <w:rsid w:val="004E1C60"/>
    <w:rsid w:val="004E7048"/>
    <w:rsid w:val="004F09CA"/>
    <w:rsid w:val="00503799"/>
    <w:rsid w:val="00522943"/>
    <w:rsid w:val="005313B9"/>
    <w:rsid w:val="005363BA"/>
    <w:rsid w:val="00546403"/>
    <w:rsid w:val="00574965"/>
    <w:rsid w:val="005856B3"/>
    <w:rsid w:val="005B0772"/>
    <w:rsid w:val="005C0A1C"/>
    <w:rsid w:val="005D3C78"/>
    <w:rsid w:val="005D4443"/>
    <w:rsid w:val="005E26A6"/>
    <w:rsid w:val="00600B21"/>
    <w:rsid w:val="00602AD7"/>
    <w:rsid w:val="00634E37"/>
    <w:rsid w:val="006422C2"/>
    <w:rsid w:val="00644C81"/>
    <w:rsid w:val="00666FBD"/>
    <w:rsid w:val="00673436"/>
    <w:rsid w:val="00684F6F"/>
    <w:rsid w:val="00687BDE"/>
    <w:rsid w:val="006A1D4D"/>
    <w:rsid w:val="006A5BA4"/>
    <w:rsid w:val="006B24DB"/>
    <w:rsid w:val="006B5FDF"/>
    <w:rsid w:val="006D6142"/>
    <w:rsid w:val="006F1B4D"/>
    <w:rsid w:val="00707889"/>
    <w:rsid w:val="007229CF"/>
    <w:rsid w:val="00723DF6"/>
    <w:rsid w:val="00746257"/>
    <w:rsid w:val="007515DE"/>
    <w:rsid w:val="00766BBB"/>
    <w:rsid w:val="00773C77"/>
    <w:rsid w:val="007742EE"/>
    <w:rsid w:val="00791AA1"/>
    <w:rsid w:val="007A3725"/>
    <w:rsid w:val="007C3EA1"/>
    <w:rsid w:val="007C40F3"/>
    <w:rsid w:val="007C4B2D"/>
    <w:rsid w:val="007C56BB"/>
    <w:rsid w:val="007C773F"/>
    <w:rsid w:val="007D3108"/>
    <w:rsid w:val="00800788"/>
    <w:rsid w:val="00820A33"/>
    <w:rsid w:val="008356D8"/>
    <w:rsid w:val="00850714"/>
    <w:rsid w:val="008B2303"/>
    <w:rsid w:val="008C5655"/>
    <w:rsid w:val="008D49DC"/>
    <w:rsid w:val="008F2744"/>
    <w:rsid w:val="008F7FAD"/>
    <w:rsid w:val="009056E4"/>
    <w:rsid w:val="00940C2A"/>
    <w:rsid w:val="00941EC8"/>
    <w:rsid w:val="009424B2"/>
    <w:rsid w:val="0095348D"/>
    <w:rsid w:val="00964EBA"/>
    <w:rsid w:val="0098421D"/>
    <w:rsid w:val="009B2D19"/>
    <w:rsid w:val="009B58E2"/>
    <w:rsid w:val="009C4678"/>
    <w:rsid w:val="009F38B3"/>
    <w:rsid w:val="00A07813"/>
    <w:rsid w:val="00A133A5"/>
    <w:rsid w:val="00A24B35"/>
    <w:rsid w:val="00A311E8"/>
    <w:rsid w:val="00A3558B"/>
    <w:rsid w:val="00A43B65"/>
    <w:rsid w:val="00AC046B"/>
    <w:rsid w:val="00AC30B3"/>
    <w:rsid w:val="00B1317C"/>
    <w:rsid w:val="00B21BA7"/>
    <w:rsid w:val="00B423CC"/>
    <w:rsid w:val="00B535EB"/>
    <w:rsid w:val="00B70C0D"/>
    <w:rsid w:val="00B763AE"/>
    <w:rsid w:val="00B76DE3"/>
    <w:rsid w:val="00B80887"/>
    <w:rsid w:val="00B86223"/>
    <w:rsid w:val="00B91C35"/>
    <w:rsid w:val="00BE5AEB"/>
    <w:rsid w:val="00BF45AA"/>
    <w:rsid w:val="00BF7386"/>
    <w:rsid w:val="00C077F6"/>
    <w:rsid w:val="00C1638A"/>
    <w:rsid w:val="00C165D5"/>
    <w:rsid w:val="00C348CC"/>
    <w:rsid w:val="00C57714"/>
    <w:rsid w:val="00C63B48"/>
    <w:rsid w:val="00C81C79"/>
    <w:rsid w:val="00C9412E"/>
    <w:rsid w:val="00C97950"/>
    <w:rsid w:val="00CD4578"/>
    <w:rsid w:val="00CD550A"/>
    <w:rsid w:val="00CF1F87"/>
    <w:rsid w:val="00D433BB"/>
    <w:rsid w:val="00D44BFD"/>
    <w:rsid w:val="00D53D55"/>
    <w:rsid w:val="00D57FF2"/>
    <w:rsid w:val="00D61A86"/>
    <w:rsid w:val="00D643B9"/>
    <w:rsid w:val="00DA51A3"/>
    <w:rsid w:val="00DC2CA7"/>
    <w:rsid w:val="00DD0E05"/>
    <w:rsid w:val="00DD6DCD"/>
    <w:rsid w:val="00DE4FCF"/>
    <w:rsid w:val="00DE7AD1"/>
    <w:rsid w:val="00E23567"/>
    <w:rsid w:val="00E42F2C"/>
    <w:rsid w:val="00E91679"/>
    <w:rsid w:val="00EA2D32"/>
    <w:rsid w:val="00ED2620"/>
    <w:rsid w:val="00EF5D0B"/>
    <w:rsid w:val="00F02004"/>
    <w:rsid w:val="00F36BE2"/>
    <w:rsid w:val="00F4313B"/>
    <w:rsid w:val="00F57ADA"/>
    <w:rsid w:val="00F90925"/>
    <w:rsid w:val="00F95519"/>
    <w:rsid w:val="00FD669A"/>
    <w:rsid w:val="00FD7934"/>
    <w:rsid w:val="00FF53BD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75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20A3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820A3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2FB3-6FBA-4C84-903A-70592DC7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161</cp:revision>
  <dcterms:created xsi:type="dcterms:W3CDTF">2020-03-23T11:33:00Z</dcterms:created>
  <dcterms:modified xsi:type="dcterms:W3CDTF">2020-04-15T07:31:00Z</dcterms:modified>
</cp:coreProperties>
</file>